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2025-10-23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CB30AQ-50H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VVX skal</w:t>
      </w:r>
      <w:r>
        <w:rPr>
          <w:noProof/>
          <w:sz w:val="24"/>
        </w:rPr>
        <w:t xml:space="preserve"> være prestandardsertifisert i AHRI’s (Airconditioning, Heating &amp; Regrigeration Institute) sertifiseringsprogram LLBF (Liquid-to-Liquid Brazed &amp; Fusion Bonded Plate Heat Exchangers).</w:t>
      </w: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Kapasitet (</w:t>
      </w:r>
      <w:r>
        <w:rPr>
          <w:noProof/>
          <w:sz w:val="24"/>
        </w:rPr>
        <w:t>kW)</w:t>
        <w:tab/>
        <w:t>25</w:t>
        <w:tab/>
        <w:t>kW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primær side (°C)</w:t>
        <w:tab/>
        <w:t>40 → 35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sekundær side (°C)</w:t>
        <w:tab/>
        <w:t>30 → 35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Maks. trykkfall (kPa)</w:t>
        <w:tab/>
        <w:t>20</w:t>
        <w:tab/>
        <w:t>kPa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